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E6AA1" w:rsidTr="004E6AA1">
        <w:tc>
          <w:tcPr>
            <w:tcW w:w="2376" w:type="dxa"/>
            <w:hideMark/>
          </w:tcPr>
          <w:p w:rsidR="004E6AA1" w:rsidRDefault="00410B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2F2ED6" wp14:editId="7424B5A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E6AA1" w:rsidRDefault="004E6AA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4E6AA1" w:rsidRDefault="004E6AA1">
            <w:pPr>
              <w:jc w:val="center"/>
            </w:pPr>
            <w:r>
              <w:rPr>
                <w:b/>
                <w:bCs/>
              </w:rPr>
              <w:t>Для подбора блочного теплового пункта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E6AA1" w:rsidRDefault="004E6AA1" w:rsidP="004E6AA1">
      <w:r>
        <w:rPr>
          <w:b/>
          <w:bCs/>
          <w:sz w:val="16"/>
          <w:szCs w:val="16"/>
        </w:rPr>
        <w:t> </w:t>
      </w:r>
    </w:p>
    <w:tbl>
      <w:tblPr>
        <w:tblStyle w:val="af0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4E6AA1" w:rsidTr="004E6AA1"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Компания: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BB1DDF" w:rsidP="004E6AA1">
            <w:r w:rsidRPr="00BB1DDF">
              <w:t>01042, Киев, а/я 111, Украина</w:t>
            </w: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Тел: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lang w:val="en-US"/>
              </w:rPr>
              <w:t>e-mail: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C12A19" w:rsidP="004656B3">
            <w:hyperlink r:id="rId8" w:history="1">
              <w:r w:rsidR="004E6AA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Контактное лицо: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Pr="004E6AA1" w:rsidRDefault="004E6AA1" w:rsidP="004E6AA1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DE17B0">
              <w:fldChar w:fldCharType="begin"/>
            </w:r>
            <w:r w:rsidR="00DE17B0" w:rsidRPr="00BB1DDF">
              <w:rPr>
                <w:lang w:val="en-US"/>
              </w:rPr>
              <w:instrText xml:space="preserve"> HYPERLINK "mailto:office@opeks.ua" </w:instrText>
            </w:r>
            <w:r w:rsidR="00DE17B0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DE17B0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Должность</w:t>
            </w:r>
          </w:p>
        </w:tc>
      </w:tr>
    </w:tbl>
    <w:p w:rsidR="004E6AA1" w:rsidRDefault="004E6AA1" w:rsidP="004E6AA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E6AA1" w:rsidRDefault="004E6AA1" w:rsidP="004E6AA1">
      <w:r>
        <w:rPr>
          <w:sz w:val="22"/>
          <w:szCs w:val="22"/>
        </w:rPr>
        <w:t> </w:t>
      </w:r>
    </w:p>
    <w:p w:rsidR="004E6AA1" w:rsidRDefault="004E6AA1" w:rsidP="004E6AA1">
      <w:r>
        <w:rPr>
          <w:sz w:val="22"/>
          <w:szCs w:val="22"/>
        </w:rPr>
        <w:t>Заполните исходные данные в следующую таблицу:</w:t>
      </w:r>
    </w:p>
    <w:p w:rsidR="0015583F" w:rsidRDefault="0015583F" w:rsidP="008C7780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37"/>
        <w:gridCol w:w="3852"/>
      </w:tblGrid>
      <w:tr w:rsidR="00D437D0" w:rsidTr="00BE4720">
        <w:tc>
          <w:tcPr>
            <w:tcW w:w="10207" w:type="dxa"/>
            <w:gridSpan w:val="3"/>
          </w:tcPr>
          <w:p w:rsidR="00D437D0" w:rsidRPr="00ED419A" w:rsidRDefault="00662DDA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D437D0" w:rsidRPr="00ED419A">
              <w:rPr>
                <w:b/>
                <w:bCs/>
                <w:sz w:val="22"/>
                <w:szCs w:val="22"/>
              </w:rPr>
              <w:t>.</w:t>
            </w:r>
            <w:r w:rsidR="00AB6ED1">
              <w:rPr>
                <w:b/>
                <w:bCs/>
                <w:sz w:val="22"/>
                <w:szCs w:val="22"/>
              </w:rPr>
              <w:t xml:space="preserve"> Общие данные для подбора насосной станции повышения давления</w:t>
            </w:r>
          </w:p>
        </w:tc>
      </w:tr>
      <w:tr w:rsidR="001F533F" w:rsidTr="00BE4720">
        <w:trPr>
          <w:trHeight w:val="255"/>
        </w:trPr>
        <w:tc>
          <w:tcPr>
            <w:tcW w:w="6318" w:type="dxa"/>
            <w:vMerge w:val="restart"/>
          </w:tcPr>
          <w:p w:rsidR="001F533F" w:rsidRPr="00623E48" w:rsidRDefault="001F533F" w:rsidP="007E1B14">
            <w:pPr>
              <w:rPr>
                <w:sz w:val="22"/>
                <w:szCs w:val="22"/>
                <w:lang w:val="uk-UA"/>
              </w:rPr>
            </w:pPr>
            <w:r w:rsidRPr="001F533F">
              <w:rPr>
                <w:sz w:val="22"/>
                <w:szCs w:val="22"/>
              </w:rPr>
              <w:t xml:space="preserve">1.1. 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Трубопровод</w:t>
            </w:r>
            <w:proofErr w:type="spellEnd"/>
            <w:r w:rsidR="00623E4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подвода</w:t>
            </w:r>
            <w:proofErr w:type="spellEnd"/>
            <w:r w:rsidR="00623E4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жидкости</w:t>
            </w:r>
            <w:proofErr w:type="spellEnd"/>
            <w:r w:rsidR="00623E48">
              <w:rPr>
                <w:sz w:val="22"/>
                <w:szCs w:val="22"/>
                <w:lang w:val="uk-UA"/>
              </w:rPr>
              <w:t xml:space="preserve"> к 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насосной</w:t>
            </w:r>
            <w:proofErr w:type="spellEnd"/>
            <w:r w:rsidR="00623E4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станции</w:t>
            </w:r>
            <w:proofErr w:type="spellEnd"/>
          </w:p>
        </w:tc>
        <w:tc>
          <w:tcPr>
            <w:tcW w:w="3889" w:type="dxa"/>
            <w:gridSpan w:val="2"/>
          </w:tcPr>
          <w:p w:rsidR="001F533F" w:rsidRPr="00623E48" w:rsidRDefault="00234C9B" w:rsidP="007E1B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234C9B">
              <w:rPr>
                <w:sz w:val="22"/>
                <w:szCs w:val="22"/>
              </w:rPr>
              <w:t xml:space="preserve"> </w:t>
            </w:r>
            <w:r w:rsidR="00623E48">
              <w:rPr>
                <w:sz w:val="22"/>
                <w:szCs w:val="22"/>
                <w:lang w:val="uk-UA"/>
              </w:rPr>
              <w:t>напором</w:t>
            </w:r>
          </w:p>
        </w:tc>
      </w:tr>
      <w:tr w:rsidR="001F533F" w:rsidTr="00BE4720">
        <w:trPr>
          <w:trHeight w:val="255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234C9B" w:rsidRDefault="00234C9B" w:rsidP="007E1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="00623E48">
              <w:rPr>
                <w:sz w:val="22"/>
                <w:szCs w:val="22"/>
                <w:lang w:val="uk-UA"/>
              </w:rPr>
              <w:t>амовсас</w:t>
            </w:r>
            <w:proofErr w:type="spellEnd"/>
          </w:p>
        </w:tc>
      </w:tr>
      <w:tr w:rsidR="001F533F" w:rsidRPr="008C7780" w:rsidTr="00BE4720">
        <w:trPr>
          <w:trHeight w:val="233"/>
        </w:trPr>
        <w:tc>
          <w:tcPr>
            <w:tcW w:w="6318" w:type="dxa"/>
            <w:vMerge w:val="restart"/>
          </w:tcPr>
          <w:p w:rsidR="001F533F" w:rsidRPr="001F533F" w:rsidRDefault="001F533F" w:rsidP="007E1B14">
            <w:pPr>
              <w:tabs>
                <w:tab w:val="right" w:pos="6219"/>
              </w:tabs>
              <w:rPr>
                <w:sz w:val="22"/>
                <w:szCs w:val="22"/>
              </w:rPr>
            </w:pPr>
            <w:r w:rsidRPr="001F533F">
              <w:rPr>
                <w:sz w:val="22"/>
                <w:szCs w:val="22"/>
              </w:rPr>
              <w:t>1.2. Количество насосов:    -  рабочих</w:t>
            </w:r>
            <w:r>
              <w:rPr>
                <w:sz w:val="22"/>
                <w:szCs w:val="22"/>
              </w:rPr>
              <w:t xml:space="preserve">       </w:t>
            </w:r>
            <w:r w:rsidRPr="001F533F">
              <w:rPr>
                <w:sz w:val="22"/>
                <w:szCs w:val="22"/>
              </w:rPr>
              <w:t xml:space="preserve">                       шт.</w:t>
            </w:r>
          </w:p>
          <w:p w:rsidR="001F533F" w:rsidRPr="001F533F" w:rsidRDefault="001F533F" w:rsidP="00CC3AE0">
            <w:pPr>
              <w:tabs>
                <w:tab w:val="right" w:pos="6219"/>
              </w:tabs>
              <w:rPr>
                <w:sz w:val="22"/>
                <w:szCs w:val="22"/>
              </w:rPr>
            </w:pPr>
            <w:r w:rsidRPr="001F533F">
              <w:rPr>
                <w:sz w:val="22"/>
                <w:szCs w:val="22"/>
              </w:rPr>
              <w:t xml:space="preserve">                                              -  резервных            </w:t>
            </w:r>
            <w:r>
              <w:rPr>
                <w:sz w:val="22"/>
                <w:szCs w:val="22"/>
              </w:rPr>
              <w:t xml:space="preserve"> </w:t>
            </w:r>
            <w:r w:rsidRPr="001F533F">
              <w:rPr>
                <w:sz w:val="22"/>
                <w:szCs w:val="22"/>
              </w:rPr>
              <w:t xml:space="preserve">             шт.</w:t>
            </w: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RPr="008C7780" w:rsidTr="00BE4720">
        <w:trPr>
          <w:trHeight w:val="232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tabs>
                <w:tab w:val="right" w:pos="6219"/>
              </w:tabs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Tr="00BE4720">
        <w:tc>
          <w:tcPr>
            <w:tcW w:w="6318" w:type="dxa"/>
            <w:vMerge w:val="restart"/>
          </w:tcPr>
          <w:p w:rsidR="00234C9B" w:rsidRDefault="001F533F" w:rsidP="00234C9B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1.</w:t>
            </w:r>
            <w:r w:rsidR="008D7C50">
              <w:rPr>
                <w:sz w:val="22"/>
                <w:szCs w:val="22"/>
                <w:lang w:val="uk-UA"/>
              </w:rPr>
              <w:t>3</w:t>
            </w:r>
            <w:r w:rsidRPr="001567C6">
              <w:rPr>
                <w:sz w:val="22"/>
                <w:szCs w:val="22"/>
              </w:rPr>
              <w:t>. Назначение насосной станции</w:t>
            </w:r>
          </w:p>
          <w:p w:rsidR="001F533F" w:rsidRPr="00234C9B" w:rsidRDefault="00234C9B" w:rsidP="00234C9B">
            <w:pPr>
              <w:tabs>
                <w:tab w:val="left" w:pos="4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889" w:type="dxa"/>
            <w:gridSpan w:val="2"/>
          </w:tcPr>
          <w:p w:rsidR="001F533F" w:rsidRPr="001567C6" w:rsidRDefault="00126000" w:rsidP="001F533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1F533F" w:rsidRPr="001567C6">
              <w:rPr>
                <w:sz w:val="22"/>
                <w:szCs w:val="22"/>
              </w:rPr>
              <w:t>оз</w:t>
            </w:r>
            <w:r w:rsidR="001567C6" w:rsidRPr="001567C6">
              <w:rPr>
                <w:sz w:val="22"/>
                <w:szCs w:val="22"/>
              </w:rPr>
              <w:t xml:space="preserve">яйственно </w:t>
            </w:r>
            <w:r w:rsidR="001F533F" w:rsidRPr="001567C6">
              <w:rPr>
                <w:sz w:val="22"/>
                <w:szCs w:val="22"/>
              </w:rPr>
              <w:t>-</w:t>
            </w:r>
            <w:r w:rsidR="001567C6" w:rsidRPr="001567C6">
              <w:rPr>
                <w:sz w:val="22"/>
                <w:szCs w:val="22"/>
              </w:rPr>
              <w:t xml:space="preserve"> </w:t>
            </w:r>
            <w:r w:rsidR="001F533F" w:rsidRPr="001567C6">
              <w:rPr>
                <w:sz w:val="22"/>
                <w:szCs w:val="22"/>
              </w:rPr>
              <w:t>пить</w:t>
            </w:r>
            <w:r w:rsidR="001567C6" w:rsidRPr="001567C6">
              <w:rPr>
                <w:sz w:val="22"/>
                <w:szCs w:val="22"/>
              </w:rPr>
              <w:t>евая</w:t>
            </w:r>
          </w:p>
        </w:tc>
      </w:tr>
      <w:tr w:rsidR="001F533F" w:rsidTr="00BE4720"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1F533F" w:rsidP="007E1B14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противопожарная</w:t>
            </w:r>
          </w:p>
        </w:tc>
      </w:tr>
      <w:tr w:rsidR="001F533F" w:rsidTr="00BE4720">
        <w:trPr>
          <w:trHeight w:val="705"/>
        </w:trPr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8E5C18" w:rsidP="008E5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F533F" w:rsidRPr="001567C6">
              <w:rPr>
                <w:sz w:val="22"/>
                <w:szCs w:val="22"/>
              </w:rPr>
              <w:t>руго</w:t>
            </w:r>
            <w:proofErr w:type="gramStart"/>
            <w:r w:rsidR="001F533F" w:rsidRPr="001567C6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указать) _____________</w:t>
            </w:r>
          </w:p>
        </w:tc>
      </w:tr>
      <w:tr w:rsidR="007C7609" w:rsidTr="00BE4720">
        <w:trPr>
          <w:trHeight w:val="112"/>
        </w:trPr>
        <w:tc>
          <w:tcPr>
            <w:tcW w:w="6318" w:type="dxa"/>
            <w:vMerge w:val="restart"/>
          </w:tcPr>
          <w:p w:rsidR="007C7609" w:rsidRDefault="007C7609" w:rsidP="00803CA2">
            <w:pPr>
              <w:tabs>
                <w:tab w:val="right" w:pos="5679"/>
              </w:tabs>
              <w:rPr>
                <w:sz w:val="22"/>
                <w:szCs w:val="22"/>
                <w:lang w:val="uk-UA"/>
              </w:rPr>
            </w:pPr>
          </w:p>
          <w:p w:rsidR="007C7609" w:rsidRPr="001F533F" w:rsidRDefault="007C7609" w:rsidP="00803CA2">
            <w:pPr>
              <w:tabs>
                <w:tab w:val="right" w:pos="56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</w:rPr>
              <w:t>. Марка насоса</w:t>
            </w:r>
          </w:p>
        </w:tc>
        <w:tc>
          <w:tcPr>
            <w:tcW w:w="3889" w:type="dxa"/>
            <w:gridSpan w:val="2"/>
          </w:tcPr>
          <w:p w:rsidR="007C7609" w:rsidRPr="00B40364" w:rsidRDefault="007C7609" w:rsidP="00803CA2">
            <w:pPr>
              <w:rPr>
                <w:sz w:val="22"/>
                <w:szCs w:val="22"/>
              </w:rPr>
            </w:pPr>
            <w:proofErr w:type="spellStart"/>
            <w:r w:rsidRPr="00B40364">
              <w:rPr>
                <w:sz w:val="22"/>
                <w:szCs w:val="22"/>
              </w:rPr>
              <w:t>Wilo</w:t>
            </w:r>
            <w:proofErr w:type="spellEnd"/>
          </w:p>
        </w:tc>
      </w:tr>
      <w:tr w:rsidR="007C7609" w:rsidTr="00BE4720">
        <w:trPr>
          <w:trHeight w:val="7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1567C6" w:rsidRDefault="00DE17B0" w:rsidP="007E1B14">
            <w:pPr>
              <w:rPr>
                <w:sz w:val="22"/>
                <w:szCs w:val="22"/>
              </w:rPr>
            </w:pPr>
            <w:hyperlink r:id="rId9" w:tgtFrame="_blank" w:history="1">
              <w:proofErr w:type="spellStart"/>
              <w:r w:rsidR="007C7609" w:rsidRPr="00B40364">
                <w:rPr>
                  <w:rStyle w:val="a9"/>
                  <w:color w:val="auto"/>
                  <w:sz w:val="21"/>
                  <w:szCs w:val="21"/>
                </w:rPr>
                <w:t>Grundfos</w:t>
              </w:r>
              <w:proofErr w:type="spellEnd"/>
            </w:hyperlink>
          </w:p>
        </w:tc>
      </w:tr>
      <w:tr w:rsidR="007C7609" w:rsidTr="00BE4720">
        <w:trPr>
          <w:trHeight w:val="15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EC4828" w:rsidRDefault="00EC4828" w:rsidP="007E1B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Ebara</w:t>
            </w:r>
          </w:p>
        </w:tc>
      </w:tr>
      <w:tr w:rsidR="007C7609" w:rsidTr="00BE4720">
        <w:trPr>
          <w:trHeight w:val="33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7C7609" w:rsidRDefault="007C7609" w:rsidP="007C7609">
            <w:pPr>
              <w:rPr>
                <w:sz w:val="8"/>
                <w:szCs w:val="8"/>
                <w:lang w:val="uk-UA"/>
              </w:rPr>
            </w:pPr>
          </w:p>
          <w:p w:rsidR="007C7609" w:rsidRPr="008E5C18" w:rsidRDefault="008E5C18" w:rsidP="007C76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7C7609">
              <w:rPr>
                <w:sz w:val="22"/>
                <w:szCs w:val="22"/>
              </w:rPr>
              <w:t>ру</w:t>
            </w:r>
            <w:r w:rsidR="007C7609">
              <w:rPr>
                <w:sz w:val="22"/>
                <w:szCs w:val="22"/>
                <w:lang w:val="uk-UA"/>
              </w:rPr>
              <w:t>го</w:t>
            </w:r>
            <w:proofErr w:type="gramStart"/>
            <w:r w:rsidR="007C7609">
              <w:rPr>
                <w:sz w:val="22"/>
                <w:szCs w:val="22"/>
                <w:lang w:val="uk-UA"/>
              </w:rPr>
              <w:t>й</w:t>
            </w:r>
            <w:proofErr w:type="spellEnd"/>
            <w:r>
              <w:rPr>
                <w:sz w:val="22"/>
                <w:szCs w:val="22"/>
                <w:lang w:val="en-US"/>
              </w:rPr>
              <w:t>(</w:t>
            </w:r>
            <w:proofErr w:type="gramEnd"/>
            <w:r>
              <w:rPr>
                <w:sz w:val="22"/>
                <w:szCs w:val="22"/>
              </w:rPr>
              <w:t>указать) ______________</w:t>
            </w:r>
          </w:p>
          <w:p w:rsidR="007C7609" w:rsidRPr="00B40364" w:rsidRDefault="007C7609" w:rsidP="007E1B14">
            <w:pPr>
              <w:rPr>
                <w:sz w:val="22"/>
                <w:szCs w:val="22"/>
                <w:lang w:val="en-US"/>
              </w:rPr>
            </w:pPr>
          </w:p>
        </w:tc>
      </w:tr>
      <w:tr w:rsidR="00BE4720" w:rsidTr="00BE4720">
        <w:tc>
          <w:tcPr>
            <w:tcW w:w="10207" w:type="dxa"/>
            <w:gridSpan w:val="3"/>
          </w:tcPr>
          <w:p w:rsidR="00BE4720" w:rsidRPr="001567C6" w:rsidRDefault="00BE4720" w:rsidP="007E1B14">
            <w:pPr>
              <w:rPr>
                <w:b/>
                <w:bCs/>
                <w:sz w:val="22"/>
                <w:szCs w:val="22"/>
              </w:rPr>
            </w:pPr>
            <w:r w:rsidRPr="001567C6">
              <w:rPr>
                <w:b/>
                <w:bCs/>
                <w:sz w:val="22"/>
                <w:szCs w:val="22"/>
              </w:rPr>
              <w:t>2. Параметры перекачиваемой среды</w:t>
            </w: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 w:rsidRPr="00E15EFC">
              <w:rPr>
                <w:sz w:val="20"/>
                <w:szCs w:val="20"/>
              </w:rPr>
              <w:t>1</w:t>
            </w:r>
            <w:r w:rsidR="008D7C50" w:rsidRPr="008D7C50">
              <w:rPr>
                <w:sz w:val="20"/>
                <w:szCs w:val="20"/>
              </w:rPr>
              <w:t xml:space="preserve">. Расход насосной станции, </w:t>
            </w:r>
            <w:r w:rsidR="008D7C50" w:rsidRPr="008D7C50">
              <w:rPr>
                <w:sz w:val="20"/>
                <w:szCs w:val="20"/>
              </w:rPr>
              <w:tab/>
              <w:t xml:space="preserve">     м</w:t>
            </w:r>
            <w:r w:rsidR="008D7C50" w:rsidRPr="008D7C50">
              <w:rPr>
                <w:sz w:val="20"/>
                <w:szCs w:val="20"/>
                <w:vertAlign w:val="superscript"/>
              </w:rPr>
              <w:t>3</w:t>
            </w:r>
            <w:r w:rsidR="008D7C50" w:rsidRPr="008D7C50">
              <w:rPr>
                <w:sz w:val="20"/>
                <w:szCs w:val="20"/>
              </w:rPr>
              <w:t>/час</w:t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</w:t>
            </w:r>
            <w:r w:rsidR="008D7C50" w:rsidRPr="008D7C50">
              <w:rPr>
                <w:sz w:val="20"/>
                <w:szCs w:val="20"/>
              </w:rPr>
              <w:t xml:space="preserve">. Диапазон расхода насосной станции, </w:t>
            </w:r>
            <w:r w:rsidR="008D7C50" w:rsidRPr="008D7C50">
              <w:rPr>
                <w:sz w:val="20"/>
                <w:szCs w:val="20"/>
              </w:rPr>
              <w:tab/>
              <w:t>м</w:t>
            </w:r>
            <w:r w:rsidR="008D7C50" w:rsidRPr="008D7C50">
              <w:rPr>
                <w:sz w:val="20"/>
                <w:szCs w:val="20"/>
                <w:vertAlign w:val="superscript"/>
              </w:rPr>
              <w:t>3</w:t>
            </w:r>
            <w:r w:rsidR="008D7C50" w:rsidRPr="008D7C50">
              <w:rPr>
                <w:sz w:val="20"/>
                <w:szCs w:val="20"/>
              </w:rPr>
              <w:t>/час</w:t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 w:rsidRPr="00E15EFC">
              <w:rPr>
                <w:sz w:val="20"/>
                <w:szCs w:val="20"/>
              </w:rPr>
              <w:t>3</w:t>
            </w:r>
            <w:r w:rsidR="008D7C50" w:rsidRPr="008D7C50">
              <w:rPr>
                <w:sz w:val="20"/>
                <w:szCs w:val="20"/>
              </w:rPr>
              <w:t>. Давление на входе перед насосной станцией</w:t>
            </w:r>
            <w:r w:rsidR="008D7C50" w:rsidRPr="008D7C50">
              <w:rPr>
                <w:sz w:val="20"/>
                <w:szCs w:val="20"/>
              </w:rPr>
              <w:tab/>
              <w:t>бар</w:t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 w:rsidRPr="00E15EFC">
              <w:rPr>
                <w:sz w:val="20"/>
                <w:szCs w:val="20"/>
              </w:rPr>
              <w:t>4</w:t>
            </w:r>
            <w:r w:rsidR="008D7C50" w:rsidRPr="008D7C50">
              <w:rPr>
                <w:sz w:val="20"/>
                <w:szCs w:val="20"/>
              </w:rPr>
              <w:t xml:space="preserve">. Давление на выходе с насосной станции, </w:t>
            </w:r>
            <w:r w:rsidR="008D7C50" w:rsidRPr="008D7C50">
              <w:rPr>
                <w:sz w:val="20"/>
                <w:szCs w:val="20"/>
              </w:rPr>
              <w:tab/>
              <w:t>бар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  <w:r w:rsidR="008D7C50" w:rsidRPr="008D7C50">
              <w:rPr>
                <w:sz w:val="20"/>
                <w:szCs w:val="20"/>
              </w:rPr>
              <w:t xml:space="preserve">. </w:t>
            </w:r>
            <w:r w:rsidR="008D7C50" w:rsidRPr="008D7C50">
              <w:rPr>
                <w:spacing w:val="-10"/>
                <w:sz w:val="20"/>
                <w:szCs w:val="20"/>
              </w:rPr>
              <w:t xml:space="preserve">Температура жидкости,                                                                               </w:t>
            </w:r>
            <w:proofErr w:type="spellStart"/>
            <w:r w:rsidR="008D7C50" w:rsidRPr="008D7C50">
              <w:rPr>
                <w:spacing w:val="-10"/>
                <w:sz w:val="20"/>
                <w:szCs w:val="20"/>
                <w:vertAlign w:val="superscript"/>
              </w:rPr>
              <w:t>о</w:t>
            </w:r>
            <w:r w:rsidR="008D7C50" w:rsidRPr="008D7C50">
              <w:rPr>
                <w:spacing w:val="-1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  <w:r w:rsidR="008D7C50" w:rsidRPr="008D7C50">
              <w:rPr>
                <w:sz w:val="20"/>
                <w:szCs w:val="20"/>
              </w:rPr>
              <w:t xml:space="preserve">. Температура окружающей среды,                                          </w:t>
            </w:r>
            <w:r w:rsidR="008D7C50" w:rsidRPr="008D7C5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D7C50" w:rsidRPr="008D7C50">
              <w:rPr>
                <w:spacing w:val="-10"/>
                <w:sz w:val="20"/>
                <w:szCs w:val="20"/>
                <w:vertAlign w:val="superscript"/>
              </w:rPr>
              <w:t>о</w:t>
            </w:r>
            <w:r w:rsidR="008D7C50" w:rsidRPr="008D7C50">
              <w:rPr>
                <w:spacing w:val="-1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7</w:t>
            </w:r>
            <w:r w:rsidR="008D7C50" w:rsidRPr="008D7C50">
              <w:rPr>
                <w:sz w:val="20"/>
                <w:szCs w:val="20"/>
              </w:rPr>
              <w:t>. Перекачиваемая среда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F37FC1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  <w:r w:rsidR="008D7C50" w:rsidRPr="008D7C50">
              <w:rPr>
                <w:sz w:val="20"/>
                <w:szCs w:val="20"/>
              </w:rPr>
              <w:t xml:space="preserve">. </w:t>
            </w:r>
            <w:r w:rsidR="008D7C50">
              <w:rPr>
                <w:sz w:val="20"/>
                <w:szCs w:val="20"/>
                <w:lang w:val="uk-UA"/>
              </w:rPr>
              <w:t>Н</w:t>
            </w:r>
            <w:proofErr w:type="spellStart"/>
            <w:r w:rsidR="008D7C50" w:rsidRPr="008D7C50">
              <w:rPr>
                <w:sz w:val="20"/>
                <w:szCs w:val="20"/>
              </w:rPr>
              <w:t>аличие</w:t>
            </w:r>
            <w:proofErr w:type="spellEnd"/>
            <w:r w:rsidR="008D7C50" w:rsidRPr="008D7C50">
              <w:rPr>
                <w:sz w:val="20"/>
                <w:szCs w:val="20"/>
              </w:rPr>
              <w:t xml:space="preserve"> агрессивных </w:t>
            </w:r>
            <w:r w:rsidR="008D7C50" w:rsidRPr="00F37FC1">
              <w:rPr>
                <w:sz w:val="20"/>
                <w:szCs w:val="20"/>
              </w:rPr>
              <w:t>прим</w:t>
            </w:r>
            <w:r w:rsidR="00F37FC1">
              <w:rPr>
                <w:sz w:val="20"/>
                <w:szCs w:val="20"/>
                <w:lang w:val="uk-UA"/>
              </w:rPr>
              <w:t>е</w:t>
            </w:r>
            <w:r w:rsidR="008D7C50" w:rsidRPr="00F37FC1">
              <w:rPr>
                <w:sz w:val="20"/>
                <w:szCs w:val="20"/>
              </w:rPr>
              <w:t>с</w:t>
            </w:r>
            <w:r w:rsidR="00F37FC1" w:rsidRPr="00F37FC1">
              <w:rPr>
                <w:sz w:val="20"/>
                <w:szCs w:val="20"/>
              </w:rPr>
              <w:t>ей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D7C50" w:rsidRPr="008D7C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  <w:r w:rsidR="008D7C50" w:rsidRPr="008D7C50">
              <w:rPr>
                <w:sz w:val="20"/>
                <w:szCs w:val="20"/>
              </w:rPr>
              <w:t>. Дополнительные условия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rPr>
          <w:trHeight w:val="247"/>
        </w:trPr>
        <w:tc>
          <w:tcPr>
            <w:tcW w:w="10207" w:type="dxa"/>
            <w:gridSpan w:val="3"/>
          </w:tcPr>
          <w:p w:rsidR="008D7C50" w:rsidRPr="00ED419A" w:rsidRDefault="008D7C5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ED419A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Автоматизация насосной станции</w:t>
            </w:r>
          </w:p>
        </w:tc>
      </w:tr>
      <w:tr w:rsidR="008D7C50" w:rsidRPr="001F533F" w:rsidTr="00BE4720">
        <w:trPr>
          <w:trHeight w:val="212"/>
        </w:trPr>
        <w:tc>
          <w:tcPr>
            <w:tcW w:w="6355" w:type="dxa"/>
            <w:gridSpan w:val="2"/>
            <w:vMerge w:val="restart"/>
          </w:tcPr>
          <w:p w:rsidR="008D7C50" w:rsidRPr="008D7C50" w:rsidRDefault="008D7C50" w:rsidP="001F533F">
            <w:pPr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3.1. Тип управления</w:t>
            </w:r>
          </w:p>
        </w:tc>
        <w:tc>
          <w:tcPr>
            <w:tcW w:w="3852" w:type="dxa"/>
          </w:tcPr>
          <w:p w:rsidR="008D7C50" w:rsidRPr="00234C9B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219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84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c>
          <w:tcPr>
            <w:tcW w:w="6355" w:type="dxa"/>
            <w:gridSpan w:val="2"/>
            <w:vMerge w:val="restart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3.2. Частотный преобразователь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F5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1F533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533F">
              <w:rPr>
                <w:sz w:val="22"/>
                <w:szCs w:val="22"/>
                <w:lang w:val="uk-UA"/>
              </w:rPr>
              <w:t>шкафу</w:t>
            </w:r>
            <w:proofErr w:type="spellEnd"/>
            <w:r w:rsidRPr="001F533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533F">
              <w:rPr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</w:tr>
      <w:tr w:rsidR="008D7C50" w:rsidRPr="001F533F" w:rsidTr="00BE4720"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</w:t>
            </w:r>
            <w:r w:rsidRPr="001F533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533F">
              <w:rPr>
                <w:sz w:val="22"/>
                <w:szCs w:val="22"/>
                <w:lang w:val="uk-UA"/>
              </w:rPr>
              <w:t>двигателях</w:t>
            </w:r>
            <w:proofErr w:type="spellEnd"/>
            <w:r w:rsidRPr="001F533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533F">
              <w:rPr>
                <w:sz w:val="22"/>
                <w:szCs w:val="22"/>
                <w:lang w:val="uk-UA"/>
              </w:rPr>
              <w:t>насосов</w:t>
            </w:r>
            <w:proofErr w:type="spellEnd"/>
          </w:p>
        </w:tc>
      </w:tr>
      <w:tr w:rsidR="008D7C50" w:rsidRPr="001F533F" w:rsidTr="00BE4720">
        <w:trPr>
          <w:trHeight w:val="179"/>
        </w:trPr>
        <w:tc>
          <w:tcPr>
            <w:tcW w:w="6355" w:type="dxa"/>
            <w:gridSpan w:val="2"/>
            <w:vMerge w:val="restart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3.2. Сигнализация на диспетчерский пункт</w:t>
            </w: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</w:t>
            </w:r>
          </w:p>
        </w:tc>
      </w:tr>
      <w:tr w:rsidR="008D7C50" w:rsidRPr="001F533F" w:rsidTr="00BE4720">
        <w:trPr>
          <w:trHeight w:val="80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нет</w:t>
            </w:r>
            <w:proofErr w:type="spellEnd"/>
          </w:p>
        </w:tc>
      </w:tr>
      <w:tr w:rsidR="008D7C50" w:rsidRPr="001F533F" w:rsidTr="00BE4720">
        <w:trPr>
          <w:trHeight w:val="720"/>
        </w:trPr>
        <w:tc>
          <w:tcPr>
            <w:tcW w:w="6355" w:type="dxa"/>
            <w:gridSpan w:val="2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3.3. Дополнительные условия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Default="008D7C50" w:rsidP="007E1B14">
            <w:pPr>
              <w:rPr>
                <w:sz w:val="22"/>
                <w:szCs w:val="22"/>
              </w:rPr>
            </w:pPr>
          </w:p>
        </w:tc>
      </w:tr>
    </w:tbl>
    <w:p w:rsidR="00D437D0" w:rsidRPr="001F533F" w:rsidRDefault="00D437D0" w:rsidP="007C7609"/>
    <w:sectPr w:rsidR="00D437D0" w:rsidRPr="001F533F" w:rsidSect="00BB76E1">
      <w:headerReference w:type="default" r:id="rId10"/>
      <w:pgSz w:w="11906" w:h="16838" w:code="9"/>
      <w:pgMar w:top="360" w:right="567" w:bottom="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B0" w:rsidRDefault="00DE17B0" w:rsidP="00BB76E1">
      <w:r>
        <w:separator/>
      </w:r>
    </w:p>
  </w:endnote>
  <w:endnote w:type="continuationSeparator" w:id="0">
    <w:p w:rsidR="00DE17B0" w:rsidRDefault="00DE17B0" w:rsidP="00BB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B0" w:rsidRDefault="00DE17B0" w:rsidP="00BB76E1">
      <w:r>
        <w:separator/>
      </w:r>
    </w:p>
  </w:footnote>
  <w:footnote w:type="continuationSeparator" w:id="0">
    <w:p w:rsidR="00DE17B0" w:rsidRDefault="00DE17B0" w:rsidP="00BB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E1" w:rsidRDefault="00BB76E1" w:rsidP="00BB76E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738AC"/>
    <w:rsid w:val="00076BEA"/>
    <w:rsid w:val="00081A7A"/>
    <w:rsid w:val="00096157"/>
    <w:rsid w:val="000A59A7"/>
    <w:rsid w:val="00123CB1"/>
    <w:rsid w:val="00125675"/>
    <w:rsid w:val="00126000"/>
    <w:rsid w:val="0015583F"/>
    <w:rsid w:val="001567C6"/>
    <w:rsid w:val="00157BAB"/>
    <w:rsid w:val="001D3352"/>
    <w:rsid w:val="001F533F"/>
    <w:rsid w:val="00210CE9"/>
    <w:rsid w:val="00211C40"/>
    <w:rsid w:val="00234C9B"/>
    <w:rsid w:val="00236D41"/>
    <w:rsid w:val="003139EC"/>
    <w:rsid w:val="0031463C"/>
    <w:rsid w:val="003550A6"/>
    <w:rsid w:val="003934D5"/>
    <w:rsid w:val="003E0C7C"/>
    <w:rsid w:val="00410B94"/>
    <w:rsid w:val="004656B3"/>
    <w:rsid w:val="004E6AA1"/>
    <w:rsid w:val="00501A5E"/>
    <w:rsid w:val="0057624D"/>
    <w:rsid w:val="00601D4A"/>
    <w:rsid w:val="00613F50"/>
    <w:rsid w:val="00623E48"/>
    <w:rsid w:val="00647B62"/>
    <w:rsid w:val="00662DDA"/>
    <w:rsid w:val="00665FB5"/>
    <w:rsid w:val="00666091"/>
    <w:rsid w:val="006B189A"/>
    <w:rsid w:val="00720839"/>
    <w:rsid w:val="00780A3E"/>
    <w:rsid w:val="00791B49"/>
    <w:rsid w:val="007A68A6"/>
    <w:rsid w:val="007C57BD"/>
    <w:rsid w:val="007C7609"/>
    <w:rsid w:val="007E1B14"/>
    <w:rsid w:val="00803CA2"/>
    <w:rsid w:val="00833DD6"/>
    <w:rsid w:val="00864A71"/>
    <w:rsid w:val="008B29E7"/>
    <w:rsid w:val="008C7780"/>
    <w:rsid w:val="008D7C50"/>
    <w:rsid w:val="008E4BB3"/>
    <w:rsid w:val="008E5C18"/>
    <w:rsid w:val="009300BB"/>
    <w:rsid w:val="009A3416"/>
    <w:rsid w:val="009B7BAF"/>
    <w:rsid w:val="009F3132"/>
    <w:rsid w:val="00A0373C"/>
    <w:rsid w:val="00A72285"/>
    <w:rsid w:val="00A85848"/>
    <w:rsid w:val="00AB6ED1"/>
    <w:rsid w:val="00B40364"/>
    <w:rsid w:val="00B93B99"/>
    <w:rsid w:val="00BB1DDF"/>
    <w:rsid w:val="00BB76E1"/>
    <w:rsid w:val="00BD4E85"/>
    <w:rsid w:val="00BE4720"/>
    <w:rsid w:val="00BF5CFC"/>
    <w:rsid w:val="00C12A19"/>
    <w:rsid w:val="00C22656"/>
    <w:rsid w:val="00C36FA1"/>
    <w:rsid w:val="00CC3AE0"/>
    <w:rsid w:val="00CE1270"/>
    <w:rsid w:val="00D134BF"/>
    <w:rsid w:val="00D34731"/>
    <w:rsid w:val="00D437D0"/>
    <w:rsid w:val="00D82E32"/>
    <w:rsid w:val="00DB639F"/>
    <w:rsid w:val="00DC0BE0"/>
    <w:rsid w:val="00DE17B0"/>
    <w:rsid w:val="00DE4F92"/>
    <w:rsid w:val="00E15EFC"/>
    <w:rsid w:val="00EA2E3F"/>
    <w:rsid w:val="00EC3AC2"/>
    <w:rsid w:val="00EC4828"/>
    <w:rsid w:val="00ED419A"/>
    <w:rsid w:val="00EE78B7"/>
    <w:rsid w:val="00F301C2"/>
    <w:rsid w:val="00F3082E"/>
    <w:rsid w:val="00F33D18"/>
    <w:rsid w:val="00F37FC1"/>
    <w:rsid w:val="00FA733E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bs.yandex.ua/count/4jNsQrMpW2C40000ZhQzbjG4NmUL0fi1RaCj0JE8fp4NO8cYkGm7dQDkA0QIeXL-5egkIEGFfPZ_tOq1aRBOowG2bx00GAmBZxPa6RKEdwvoJDgJZmYBhW_JgaACa5C7e92V97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2011-06-22T11:05:00Z</cp:lastPrinted>
  <dcterms:created xsi:type="dcterms:W3CDTF">2023-04-19T08:33:00Z</dcterms:created>
  <dcterms:modified xsi:type="dcterms:W3CDTF">2026-02-16T15:57:00Z</dcterms:modified>
</cp:coreProperties>
</file>